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19"/>
      </w:pPr>
      <w:r>
        <w:rPr/>
      </w:r>
    </w:p>
    <w:tbl>
      <w:tblPr>
        <w:jc w:val="left"/>
        <w:tblInd w:type="dxa" w:w="-108"/>
        <w:tblBorders>
          <w:bottom w:color="000001" w:space="0" w:sz="4" w:val="single"/>
        </w:tblBorders>
      </w:tblPr>
      <w:tblGrid>
        <w:gridCol w:w="15309"/>
      </w:tblGrid>
      <w:tr>
        <w:trPr>
          <w:trHeight w:hRule="atLeast" w:val="1457"/>
          <w:cantSplit w:val="false"/>
        </w:trPr>
        <w:tc>
          <w:tcPr>
            <w:tcW w:type="dxa" w:w="15309"/>
            <w:gridSpan w:val="7"/>
            <w:tcBorders>
              <w:bottom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right"/>
            </w:pPr>
            <w:r>
              <w:rPr>
                <w:color w:val="000000"/>
              </w:rPr>
              <w:t>Утверждаю: ______/Нугманова Н.Б.1/</w:t>
            </w:r>
          </w:p>
          <w:p>
            <w:pPr>
              <w:pStyle w:val="style0"/>
              <w:jc w:val="center"/>
            </w:pPr>
            <w:r>
              <w:rPr>
                <w:color w:val="000000"/>
              </w:rPr>
              <w:t xml:space="preserve">                                                                                                                                                                                             </w:t>
            </w:r>
            <w:r>
              <w:rPr>
                <w:color w:val="000000"/>
              </w:rPr>
              <w:t>Приказ №    от 16.01.2024 г.</w:t>
              <w:br/>
            </w:r>
          </w:p>
          <w:p>
            <w:pPr>
              <w:pStyle w:val="style0"/>
              <w:jc w:val="center"/>
            </w:pPr>
            <w:r>
              <w:rPr>
                <w:color w:val="000000"/>
              </w:rPr>
            </w:r>
          </w:p>
          <w:p>
            <w:pPr>
              <w:pStyle w:val="style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ПЛАН</w:t>
            </w:r>
            <w:r>
              <w:rPr>
                <w:b/>
                <w:bCs/>
                <w:color w:val="000000"/>
                <w:sz w:val="28"/>
                <w:szCs w:val="28"/>
                <w:vertAlign w:val="superscript"/>
              </w:rPr>
              <w:t xml:space="preserve"> </w:t>
            </w:r>
          </w:p>
          <w:p>
            <w:pPr>
              <w:pStyle w:val="style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по устранению недостатков, выявленных в ходе независимой оценки качества условий оказания услуг </w:t>
            </w:r>
          </w:p>
          <w:p>
            <w:pPr>
              <w:pStyle w:val="style0"/>
              <w:jc w:val="center"/>
            </w:pPr>
            <w:r>
              <w:rPr>
                <w:b/>
                <w:bCs/>
                <w:sz w:val="28"/>
                <w:szCs w:val="28"/>
              </w:rPr>
              <w:t>муниципального общеобразовательного  учреждения средняя общеобразовательная школа д.Башкирская Ургинка</w:t>
            </w:r>
          </w:p>
          <w:p>
            <w:pPr>
              <w:pStyle w:val="style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 20</w:t>
            </w:r>
            <w:r>
              <w:rPr>
                <w:b/>
                <w:bCs/>
                <w:sz w:val="28"/>
                <w:szCs w:val="28"/>
              </w:rPr>
              <w:t>24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год</w:t>
            </w:r>
          </w:p>
        </w:tc>
      </w:tr>
      <w:tr>
        <w:trPr>
          <w:trHeight w:hRule="atLeast" w:val="478"/>
          <w:cantSplit w:val="false"/>
        </w:trPr>
        <w:tc>
          <w:tcPr>
            <w:tcW w:type="dxa" w:w="422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type="dxa" w:w="4948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/>
              <w:t>Недостатки, выявленные в ходе независимой оценки качества условий осуществления образовательной деятельности</w:t>
            </w:r>
          </w:p>
        </w:tc>
        <w:tc>
          <w:tcPr>
            <w:tcW w:type="dxa" w:w="49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color w:val="000000"/>
              </w:rPr>
            </w:r>
          </w:p>
        </w:tc>
        <w:tc>
          <w:tcPr>
            <w:tcW w:type="dxa" w:w="2523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color w:val="000000"/>
              </w:rPr>
              <w:t>Плановый срок реализации мероприятия</w:t>
            </w:r>
          </w:p>
        </w:tc>
        <w:tc>
          <w:tcPr>
            <w:tcW w:type="dxa" w:w="3140"/>
            <w:vMerge w:val="restart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color w:val="000000"/>
              </w:rPr>
              <w:t>Ответственный</w:t>
            </w:r>
          </w:p>
          <w:p>
            <w:pPr>
              <w:pStyle w:val="style0"/>
              <w:jc w:val="center"/>
            </w:pPr>
            <w:r>
              <w:rPr>
                <w:color w:val="000000"/>
              </w:rPr>
              <w:t>исполнитель</w:t>
            </w:r>
          </w:p>
          <w:p>
            <w:pPr>
              <w:pStyle w:val="style0"/>
              <w:jc w:val="center"/>
            </w:pPr>
            <w:r>
              <w:rPr>
                <w:color w:val="000000"/>
              </w:rPr>
              <w:t>(с указанием фамилии, имени, отчества и должности)</w:t>
            </w:r>
          </w:p>
        </w:tc>
        <w:tc>
          <w:tcPr>
            <w:tcW w:type="dxa" w:w="4227"/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color w:val="000000"/>
              </w:rPr>
              <w:t>Сведения о ходе реализации мероприятия</w:t>
            </w:r>
            <w:r>
              <w:rPr>
                <w:color w:val="000000"/>
                <w:vertAlign w:val="superscript"/>
              </w:rPr>
              <w:t>3</w:t>
            </w:r>
          </w:p>
        </w:tc>
      </w:tr>
      <w:tr>
        <w:trPr>
          <w:trHeight w:hRule="atLeast" w:val="150"/>
          <w:cantSplit w:val="false"/>
        </w:trPr>
        <w:tc>
          <w:tcPr>
            <w:tcW w:type="dxa" w:w="422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4948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49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523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3140"/>
            <w:vMerge w:val="continue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</w:r>
          </w:p>
        </w:tc>
        <w:tc>
          <w:tcPr>
            <w:tcW w:type="dxa" w:w="25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color w:val="000000"/>
              </w:rPr>
              <w:t>Реализованные меры по устранению выявленных недостатков</w:t>
            </w:r>
          </w:p>
        </w:tc>
        <w:tc>
          <w:tcPr>
            <w:tcW w:type="dxa" w:w="172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color w:val="000000"/>
              </w:rPr>
              <w:t>Фактический срок реализации</w:t>
            </w:r>
          </w:p>
        </w:tc>
      </w:tr>
      <w:tr>
        <w:trPr>
          <w:trHeight w:hRule="atLeast" w:val="150"/>
          <w:cantSplit w:val="false"/>
        </w:trPr>
        <w:tc>
          <w:tcPr>
            <w:tcW w:type="dxa" w:w="15309"/>
            <w:gridSpan w:val="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color w:val="000000"/>
              </w:rPr>
              <w:t>I. Соответствие  информации о деятельности   организации, размещенной на общедоступных информационных ресурсах, ее содержанию и порядку (форме) размещения, установленным нормативными правовыми актами</w:t>
            </w:r>
          </w:p>
        </w:tc>
      </w:tr>
      <w:tr>
        <w:trPr>
          <w:trHeight w:hRule="atLeast" w:val="244"/>
          <w:cantSplit w:val="false"/>
        </w:trPr>
        <w:tc>
          <w:tcPr>
            <w:tcW w:type="dxa" w:w="42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color w:val="000000"/>
              </w:rPr>
            </w:r>
          </w:p>
        </w:tc>
        <w:tc>
          <w:tcPr>
            <w:tcW w:type="dxa" w:w="49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5"/>
            </w:pPr>
            <w:r>
              <w:rPr/>
              <w:t xml:space="preserve">7.1. Документ о порядке оказания платных образовательных услуг </w:t>
            </w:r>
          </w:p>
          <w:p>
            <w:pPr>
              <w:pStyle w:val="style25"/>
            </w:pPr>
            <w:r>
              <w:rPr/>
              <w:t xml:space="preserve">7.2. Образец договора об оказании платных образовательных услуг </w:t>
            </w:r>
          </w:p>
        </w:tc>
        <w:tc>
          <w:tcPr>
            <w:tcW w:type="dxa" w:w="4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5"/>
            </w:pPr>
            <w:r>
              <w:rPr/>
              <w:t> </w:t>
            </w:r>
          </w:p>
          <w:p>
            <w:pPr>
              <w:pStyle w:val="style25"/>
            </w:pPr>
            <w:r>
              <w:rPr/>
            </w:r>
          </w:p>
        </w:tc>
        <w:tc>
          <w:tcPr>
            <w:tcW w:type="dxa" w:w="25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5"/>
            </w:pPr>
            <w:r>
              <w:rPr/>
              <w:t xml:space="preserve"> </w:t>
            </w:r>
          </w:p>
          <w:p>
            <w:pPr>
              <w:pStyle w:val="style25"/>
            </w:pPr>
            <w:r>
              <w:rPr/>
              <w:t>январь -февраль  2024 года</w:t>
            </w:r>
          </w:p>
        </w:tc>
        <w:tc>
          <w:tcPr>
            <w:tcW w:type="dxa" w:w="31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5"/>
            </w:pPr>
            <w:r>
              <w:rPr/>
              <w:t>Халитов М.К. -учитель информатики ответственный технический специалист за ведение сайта</w:t>
            </w:r>
          </w:p>
          <w:p>
            <w:pPr>
              <w:pStyle w:val="style25"/>
            </w:pPr>
            <w:r>
              <w:rPr/>
              <w:t>Акчурина Ф.Х.- зам. директора по УВР</w:t>
            </w:r>
          </w:p>
        </w:tc>
        <w:tc>
          <w:tcPr>
            <w:tcW w:type="dxa" w:w="25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5"/>
            </w:pPr>
            <w:r>
              <w:rPr/>
              <w:t xml:space="preserve"> </w:t>
            </w:r>
            <w:r>
              <w:rPr/>
              <w:t xml:space="preserve">Разместить на стендах в помещении </w:t>
            </w:r>
          </w:p>
          <w:p>
            <w:pPr>
              <w:pStyle w:val="style25"/>
            </w:pPr>
            <w:r>
              <w:rPr/>
              <w:t xml:space="preserve"> </w:t>
            </w:r>
            <w:r>
              <w:rPr/>
              <w:t xml:space="preserve">образовательной организации </w:t>
            </w:r>
          </w:p>
        </w:tc>
        <w:tc>
          <w:tcPr>
            <w:tcW w:type="dxa" w:w="172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5"/>
            </w:pPr>
            <w:r>
              <w:rPr/>
              <w:t xml:space="preserve">  </w:t>
            </w:r>
          </w:p>
          <w:p>
            <w:pPr>
              <w:pStyle w:val="style25"/>
            </w:pPr>
            <w:r>
              <w:rPr/>
              <w:t>Март  2024 г.</w:t>
            </w:r>
          </w:p>
        </w:tc>
      </w:tr>
      <w:tr>
        <w:trPr>
          <w:trHeight w:hRule="atLeast" w:val="244"/>
          <w:cantSplit w:val="false"/>
        </w:trPr>
        <w:tc>
          <w:tcPr>
            <w:tcW w:type="dxa" w:w="15309"/>
            <w:gridSpan w:val="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color w:val="000000"/>
              </w:rPr>
            </w:r>
          </w:p>
        </w:tc>
      </w:tr>
      <w:tr>
        <w:trPr>
          <w:trHeight w:hRule="atLeast" w:val="244"/>
          <w:cantSplit w:val="false"/>
        </w:trPr>
        <w:tc>
          <w:tcPr>
            <w:tcW w:type="dxa" w:w="42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color w:val="000000"/>
              </w:rPr>
            </w:r>
          </w:p>
        </w:tc>
        <w:tc>
          <w:tcPr>
            <w:tcW w:type="dxa" w:w="49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5"/>
            </w:pPr>
            <w:r>
              <w:rPr/>
              <w:t>41. О специально оборудованных учебных кабинетах, объектов для проведения практических занятий, библиотек, объектов спорта, средств обучения и воспитания, приспособленных для использования инвалидами и лицами с ограниченными возможностями здоровья.</w:t>
            </w:r>
          </w:p>
          <w:p>
            <w:pPr>
              <w:pStyle w:val="style25"/>
            </w:pPr>
            <w:r>
              <w:rPr/>
              <w:t>42. Об обеспечении беспретятственного доступа в здания образовательной организации</w:t>
            </w:r>
          </w:p>
          <w:p>
            <w:pPr>
              <w:pStyle w:val="style25"/>
            </w:pPr>
            <w:r>
              <w:rPr/>
              <w:t>44. О специальных условиях охраны здоровья</w:t>
            </w:r>
          </w:p>
          <w:p>
            <w:pPr>
              <w:pStyle w:val="style25"/>
            </w:pPr>
            <w:r>
              <w:rPr/>
              <w:t>Об электронных образовательных ресурсах, к которым обеспечивается доступ инвалидов и лиц с ограниченными возможностями здоровья</w:t>
            </w:r>
          </w:p>
          <w:p>
            <w:pPr>
              <w:pStyle w:val="style25"/>
            </w:pPr>
            <w:r>
              <w:rPr/>
              <w:t>47. О наличии специальных технических средств обучения коллективного и индивидуального пользования</w:t>
            </w:r>
          </w:p>
        </w:tc>
        <w:tc>
          <w:tcPr>
            <w:tcW w:type="dxa" w:w="4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5"/>
            </w:pPr>
            <w:r>
              <w:rPr/>
              <w:t> </w:t>
            </w:r>
          </w:p>
        </w:tc>
        <w:tc>
          <w:tcPr>
            <w:tcW w:type="dxa" w:w="25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5"/>
            </w:pPr>
            <w:r>
              <w:rPr/>
            </w:r>
          </w:p>
          <w:p>
            <w:pPr>
              <w:pStyle w:val="style25"/>
            </w:pPr>
            <w:r>
              <w:rPr/>
              <w:t>В течение года.</w:t>
            </w:r>
          </w:p>
        </w:tc>
        <w:tc>
          <w:tcPr>
            <w:tcW w:type="dxa" w:w="31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5"/>
            </w:pPr>
            <w:r>
              <w:rPr/>
              <w:t xml:space="preserve">Нугманова Н. Б - директор школы, Халитов М.К.-учитель информатики </w:t>
            </w:r>
          </w:p>
        </w:tc>
        <w:tc>
          <w:tcPr>
            <w:tcW w:type="dxa" w:w="25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5"/>
            </w:pPr>
            <w:r>
              <w:rPr/>
              <w:t xml:space="preserve">Разместить на сайте образовательной организации </w:t>
            </w:r>
          </w:p>
        </w:tc>
        <w:tc>
          <w:tcPr>
            <w:tcW w:type="dxa" w:w="172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25"/>
            </w:pPr>
            <w:r>
              <w:rPr/>
              <w:t xml:space="preserve">В течение года </w:t>
            </w:r>
          </w:p>
          <w:p>
            <w:pPr>
              <w:pStyle w:val="style25"/>
            </w:pPr>
            <w:r>
              <w:rPr/>
            </w:r>
          </w:p>
        </w:tc>
      </w:tr>
      <w:tr>
        <w:trPr>
          <w:trHeight w:hRule="atLeast" w:val="244"/>
          <w:cantSplit w:val="false"/>
        </w:trPr>
        <w:tc>
          <w:tcPr>
            <w:tcW w:type="dxa" w:w="15309"/>
            <w:gridSpan w:val="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jc w:val="center"/>
            </w:pPr>
            <w:r>
              <w:rPr>
                <w:color w:val="000000"/>
              </w:rPr>
              <w:t>III. Доступность услуг для инвалидов</w:t>
            </w:r>
          </w:p>
        </w:tc>
      </w:tr>
      <w:tr>
        <w:trPr>
          <w:trHeight w:hRule="atLeast" w:val="256"/>
          <w:cantSplit w:val="false"/>
        </w:trPr>
        <w:tc>
          <w:tcPr>
            <w:tcW w:type="dxa" w:w="42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color w:val="000000"/>
              </w:rPr>
            </w:r>
          </w:p>
        </w:tc>
        <w:tc>
          <w:tcPr>
            <w:tcW w:type="dxa" w:w="49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76" w:lineRule="auto"/>
              <w:jc w:val="both"/>
            </w:pPr>
            <w:r>
              <w:rPr>
                <w:color w:val="000000"/>
              </w:rPr>
              <w:t xml:space="preserve">Помещения образовательной организации и прилегающая к ней территория недостаточно оборудованы с учетом   доступности для инвалидов. Необходимо обеспечить следующие условия доступности: </w:t>
            </w:r>
          </w:p>
          <w:p>
            <w:pPr>
              <w:pStyle w:val="style0"/>
              <w:spacing w:line="276" w:lineRule="auto"/>
              <w:jc w:val="both"/>
            </w:pPr>
            <w:r>
              <w:rPr>
                <w:color w:val="000000"/>
              </w:rPr>
              <w:t>- оборудование входных групп пандусами;</w:t>
            </w:r>
          </w:p>
          <w:p>
            <w:pPr>
              <w:pStyle w:val="style0"/>
              <w:spacing w:line="276" w:lineRule="auto"/>
              <w:jc w:val="both"/>
            </w:pPr>
            <w:r>
              <w:rPr>
                <w:color w:val="000000"/>
              </w:rPr>
              <w:t xml:space="preserve">- выделенные стоянки для автотранспортных средств инвалидов; </w:t>
            </w:r>
          </w:p>
          <w:p>
            <w:pPr>
              <w:pStyle w:val="style0"/>
              <w:spacing w:line="276" w:lineRule="auto"/>
              <w:jc w:val="both"/>
            </w:pPr>
            <w:r>
              <w:rPr>
                <w:color w:val="000000"/>
              </w:rPr>
              <w:t xml:space="preserve">- сменные кресла-коляски; </w:t>
            </w:r>
          </w:p>
          <w:p>
            <w:pPr>
              <w:pStyle w:val="style0"/>
              <w:spacing w:line="276" w:lineRule="auto"/>
              <w:jc w:val="both"/>
            </w:pPr>
            <w:r>
              <w:rPr>
                <w:color w:val="000000"/>
              </w:rPr>
              <w:t>- специально оборудованные санитарно-гигиенические помещения в образовательной организации</w:t>
            </w:r>
          </w:p>
        </w:tc>
        <w:tc>
          <w:tcPr>
            <w:tcW w:type="dxa" w:w="4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color w:val="000000"/>
              </w:rPr>
            </w:r>
          </w:p>
        </w:tc>
        <w:tc>
          <w:tcPr>
            <w:tcW w:type="dxa" w:w="25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color w:val="000000"/>
              </w:rPr>
              <w:t>В течение года</w:t>
            </w:r>
          </w:p>
          <w:p>
            <w:pPr>
              <w:pStyle w:val="style0"/>
            </w:pPr>
            <w:r>
              <w:rPr>
                <w:color w:val="000000"/>
              </w:rPr>
            </w:r>
          </w:p>
          <w:p>
            <w:pPr>
              <w:pStyle w:val="style0"/>
            </w:pPr>
            <w:r>
              <w:rPr>
                <w:color w:val="000000"/>
              </w:rPr>
            </w:r>
          </w:p>
          <w:p>
            <w:pPr>
              <w:pStyle w:val="style0"/>
            </w:pPr>
            <w:r>
              <w:rPr>
                <w:color w:val="000000"/>
              </w:rPr>
            </w:r>
          </w:p>
          <w:p>
            <w:pPr>
              <w:pStyle w:val="style0"/>
            </w:pPr>
            <w:r>
              <w:rPr>
                <w:color w:val="000000"/>
              </w:rPr>
            </w:r>
          </w:p>
          <w:p>
            <w:pPr>
              <w:pStyle w:val="style0"/>
            </w:pPr>
            <w:r>
              <w:rPr>
                <w:color w:val="000000"/>
              </w:rPr>
            </w:r>
          </w:p>
          <w:p>
            <w:pPr>
              <w:pStyle w:val="style0"/>
            </w:pPr>
            <w:r>
              <w:rPr>
                <w:color w:val="000000"/>
              </w:rPr>
            </w:r>
          </w:p>
          <w:p>
            <w:pPr>
              <w:pStyle w:val="style0"/>
            </w:pPr>
            <w:r>
              <w:rPr>
                <w:color w:val="000000"/>
              </w:rPr>
            </w:r>
          </w:p>
        </w:tc>
        <w:tc>
          <w:tcPr>
            <w:tcW w:type="dxa" w:w="31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>Нугманова Н.Б.- директор школы</w:t>
            </w:r>
          </w:p>
          <w:p>
            <w:pPr>
              <w:pStyle w:val="style0"/>
            </w:pPr>
            <w:r>
              <w:rPr/>
              <w:t>Акъюлов Б.Я.- заместитель директора по АХЧ</w:t>
            </w:r>
          </w:p>
        </w:tc>
        <w:tc>
          <w:tcPr>
            <w:tcW w:type="dxa" w:w="25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color w:val="000000"/>
              </w:rPr>
              <w:t>Создание условий для оборудования территорий , прилегающих к зданиям организации</w:t>
            </w:r>
          </w:p>
          <w:p>
            <w:pPr>
              <w:pStyle w:val="style0"/>
            </w:pPr>
            <w:r>
              <w:rPr>
                <w:color w:val="000000"/>
              </w:rPr>
              <w:t xml:space="preserve">по мере </w:t>
              <w:t xml:space="preserve">поступления </w:t>
              <w:t xml:space="preserve"> финансирования </w:t>
            </w:r>
          </w:p>
        </w:tc>
        <w:tc>
          <w:tcPr>
            <w:tcW w:type="dxa" w:w="172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Сентябрь 2024 года</w:t>
            </w:r>
          </w:p>
        </w:tc>
      </w:tr>
      <w:tr>
        <w:trPr>
          <w:trHeight w:hRule="atLeast" w:val="256"/>
          <w:cantSplit w:val="false"/>
        </w:trPr>
        <w:tc>
          <w:tcPr>
            <w:tcW w:type="dxa" w:w="42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bookmarkStart w:id="0" w:name="_Hlk158985414"/>
            <w:bookmarkStart w:id="1" w:name="_Hlk158985414"/>
            <w:bookmarkEnd w:id="1"/>
            <w:r>
              <w:rPr>
                <w:color w:val="000000"/>
              </w:rPr>
            </w:r>
          </w:p>
        </w:tc>
        <w:tc>
          <w:tcPr>
            <w:tcW w:type="dxa" w:w="49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76" w:lineRule="auto"/>
              <w:jc w:val="both"/>
            </w:pPr>
            <w:r>
              <w:rPr>
                <w:color w:val="000000"/>
              </w:rPr>
              <w:t>Создание условий организации обучения и воспитания обучающихся с ОВЗ и инвалидов</w:t>
            </w:r>
          </w:p>
        </w:tc>
        <w:tc>
          <w:tcPr>
            <w:tcW w:type="dxa" w:w="4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color w:val="000000"/>
              </w:rPr>
            </w:r>
          </w:p>
        </w:tc>
        <w:tc>
          <w:tcPr>
            <w:tcW w:type="dxa" w:w="25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type="dxa" w:w="31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>Нугманова Н.Б.- директор школы,</w:t>
            </w:r>
          </w:p>
          <w:p>
            <w:pPr>
              <w:pStyle w:val="style0"/>
            </w:pPr>
            <w:r>
              <w:rPr/>
              <w:t>Акчурина Ф.Х.- заместитель директора по УВР,</w:t>
            </w:r>
          </w:p>
          <w:p>
            <w:pPr>
              <w:pStyle w:val="style0"/>
            </w:pPr>
            <w:r>
              <w:rPr/>
              <w:t>Акъюлов Б.Я - заместитель директора по АХЧ</w:t>
            </w:r>
          </w:p>
        </w:tc>
        <w:tc>
          <w:tcPr>
            <w:tcW w:type="dxa" w:w="25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color w:val="000000"/>
              </w:rPr>
              <w:t xml:space="preserve">Дублировать надписи, знаков и иной текстовой и </w:t>
            </w:r>
            <w:r>
              <w:rPr>
                <w:color w:val="000000"/>
              </w:rPr>
              <w:t>графической информации знаками, выполненными рельефно- точечным шрифтом Брайля</w:t>
            </w:r>
          </w:p>
        </w:tc>
        <w:tc>
          <w:tcPr>
            <w:tcW w:type="dxa" w:w="172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color w:val="000000"/>
              </w:rPr>
              <w:t>В течение года</w:t>
            </w:r>
          </w:p>
        </w:tc>
      </w:tr>
      <w:tr>
        <w:trPr>
          <w:trHeight w:hRule="atLeast" w:val="256"/>
          <w:cantSplit w:val="false"/>
        </w:trPr>
        <w:tc>
          <w:tcPr>
            <w:tcW w:type="dxa" w:w="42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color w:val="000000"/>
              </w:rPr>
            </w:r>
          </w:p>
        </w:tc>
        <w:tc>
          <w:tcPr>
            <w:tcW w:type="dxa" w:w="49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76" w:lineRule="auto"/>
              <w:jc w:val="both"/>
            </w:pPr>
            <w:r>
              <w:rPr>
                <w:color w:val="000000"/>
              </w:rPr>
              <w:t>Возможность предоставления инвалидам по слуху и зрению услуг сурдопереводчика (тифлосурдопереводчика)</w:t>
            </w:r>
          </w:p>
        </w:tc>
        <w:tc>
          <w:tcPr>
            <w:tcW w:type="dxa" w:w="4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color w:val="000000"/>
              </w:rPr>
            </w:r>
          </w:p>
        </w:tc>
        <w:tc>
          <w:tcPr>
            <w:tcW w:type="dxa" w:w="25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type="dxa" w:w="31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 xml:space="preserve">Нугманова Н.Б.- директор школы, </w:t>
            </w:r>
          </w:p>
          <w:p>
            <w:pPr>
              <w:pStyle w:val="style0"/>
            </w:pPr>
            <w:r>
              <w:rPr/>
              <w:t>Акчурина Ф.Х.- заместитель директора по УВР,</w:t>
            </w:r>
          </w:p>
          <w:p>
            <w:pPr>
              <w:pStyle w:val="style0"/>
            </w:pPr>
            <w:r>
              <w:rPr>
                <w:color w:val="000000"/>
              </w:rPr>
            </w:r>
          </w:p>
        </w:tc>
        <w:tc>
          <w:tcPr>
            <w:tcW w:type="dxa" w:w="25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color w:val="000000"/>
              </w:rPr>
              <w:t>Предоставить услуги сурдопереводчика</w:t>
            </w:r>
          </w:p>
        </w:tc>
        <w:tc>
          <w:tcPr>
            <w:tcW w:type="dxa" w:w="172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color w:val="000000"/>
              </w:rPr>
              <w:t>В течение года</w:t>
            </w:r>
          </w:p>
        </w:tc>
      </w:tr>
      <w:tr>
        <w:trPr>
          <w:trHeight w:hRule="atLeast" w:val="256"/>
          <w:cantSplit w:val="false"/>
        </w:trPr>
        <w:tc>
          <w:tcPr>
            <w:tcW w:type="dxa" w:w="42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color w:val="000000"/>
              </w:rPr>
            </w:r>
          </w:p>
        </w:tc>
        <w:tc>
          <w:tcPr>
            <w:tcW w:type="dxa" w:w="494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line="276" w:lineRule="auto"/>
              <w:jc w:val="both"/>
            </w:pPr>
            <w:r>
              <w:rPr>
                <w:color w:val="000000"/>
              </w:rPr>
              <w:t>Помощь , оказываемая работниками организации, прошедшими необходимое обучение( инструктирование) по сопровождению инвалидов в помещении организации</w:t>
            </w:r>
          </w:p>
        </w:tc>
        <w:tc>
          <w:tcPr>
            <w:tcW w:type="dxa" w:w="4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color w:val="000000"/>
              </w:rPr>
            </w:r>
          </w:p>
        </w:tc>
        <w:tc>
          <w:tcPr>
            <w:tcW w:type="dxa" w:w="25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type="dxa" w:w="314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/>
              <w:t xml:space="preserve">Нугманова Н.Б.- директор школы, </w:t>
            </w:r>
          </w:p>
          <w:p>
            <w:pPr>
              <w:pStyle w:val="style0"/>
            </w:pPr>
            <w:r>
              <w:rPr/>
              <w:t>Акъюлов Б.Я.- заместитель директора по АХЧ</w:t>
            </w:r>
          </w:p>
        </w:tc>
        <w:tc>
          <w:tcPr>
            <w:tcW w:type="dxa" w:w="2500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color w:val="000000"/>
              </w:rPr>
              <w:t>Организовать обучение сотрудников по сопровождению инвалидов в помещении организации</w:t>
            </w:r>
          </w:p>
        </w:tc>
        <w:tc>
          <w:tcPr>
            <w:tcW w:type="dxa" w:w="172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</w:pPr>
            <w:r>
              <w:rPr>
                <w:color w:val="000000"/>
              </w:rPr>
              <w:t>В течение года</w:t>
            </w:r>
          </w:p>
        </w:tc>
      </w:tr>
    </w:tbl>
    <w:p>
      <w:pPr>
        <w:pStyle w:val="style0"/>
      </w:pPr>
      <w:bookmarkStart w:id="2" w:name="_heading=h.gjdgxs"/>
      <w:bookmarkEnd w:id="2"/>
      <w:r>
        <w:rPr/>
        <w:t xml:space="preserve">  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jc w:val="center"/>
      </w:pPr>
      <w:r>
        <w:rPr>
          <w:sz w:val="28"/>
          <w:szCs w:val="28"/>
        </w:rPr>
        <w:t xml:space="preserve">                  </w:t>
      </w:r>
      <w:bookmarkStart w:id="3" w:name="_GoBack"/>
      <w:bookmarkEnd w:id="3"/>
      <w:r>
        <w:rPr>
          <w:sz w:val="28"/>
          <w:szCs w:val="28"/>
        </w:rPr>
        <w:t>Директор школы:                / Н.Б. Нугманова /</w:t>
      </w:r>
    </w:p>
    <w:sectPr>
      <w:type w:val="nextPage"/>
      <w:pgSz w:h="11906" w:orient="landscape" w:w="16838"/>
      <w:pgMar w:bottom="1701" w:footer="0" w:gutter="0" w:header="0" w:left="1134" w:right="1134" w:top="850"/>
      <w:pgNumType w:fmt="decimal"/>
      <w:formProt w:val="false"/>
      <w:textDirection w:val="lrTb"/>
      <w:docGrid w:charSpace="0" w:linePitch="24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</w:numbering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tabs>
        <w:tab w:leader="none" w:pos="720" w:val="left"/>
      </w:tabs>
      <w:suppressAutoHyphens w:val="true"/>
      <w:kinsoku w:val="true"/>
      <w:overflowPunct w:val="true"/>
      <w:autoSpaceDE w:val="true"/>
    </w:pPr>
    <w:rPr>
      <w:rFonts w:ascii="Times New Roman" w:cs="Times New Roman" w:eastAsia="Times New Roman" w:hAnsi="Times New Roman"/>
      <w:color w:val="auto"/>
      <w:sz w:val="24"/>
      <w:szCs w:val="24"/>
      <w:lang w:bidi="ar-SA" w:eastAsia="ru-RU" w:val="ru-RU"/>
    </w:rPr>
  </w:style>
  <w:style w:styleId="style1" w:type="paragraph">
    <w:name w:val="Заголовок 1"/>
    <w:basedOn w:val="style0"/>
    <w:next w:val="style19"/>
    <w:pPr>
      <w:keepNext/>
      <w:keepLines/>
      <w:spacing w:after="120" w:before="480"/>
    </w:pPr>
    <w:rPr>
      <w:b/>
      <w:sz w:val="48"/>
      <w:szCs w:val="48"/>
    </w:rPr>
  </w:style>
  <w:style w:styleId="style2" w:type="paragraph">
    <w:name w:val="Заголовок 2"/>
    <w:basedOn w:val="style0"/>
    <w:next w:val="style19"/>
    <w:pPr>
      <w:keepNext/>
      <w:keepLines/>
      <w:numPr>
        <w:ilvl w:val="1"/>
        <w:numId w:val="1"/>
      </w:numPr>
      <w:spacing w:after="80" w:before="360"/>
      <w:outlineLvl w:val="1"/>
    </w:pPr>
    <w:rPr>
      <w:b/>
      <w:sz w:val="36"/>
      <w:szCs w:val="36"/>
    </w:rPr>
  </w:style>
  <w:style w:styleId="style3" w:type="paragraph">
    <w:name w:val="Заголовок 3"/>
    <w:basedOn w:val="style0"/>
    <w:next w:val="style19"/>
    <w:pPr>
      <w:keepNext/>
      <w:keepLines/>
      <w:numPr>
        <w:ilvl w:val="2"/>
        <w:numId w:val="1"/>
      </w:numPr>
      <w:spacing w:after="80" w:before="280"/>
      <w:outlineLvl w:val="2"/>
    </w:pPr>
    <w:rPr>
      <w:b/>
      <w:sz w:val="28"/>
      <w:szCs w:val="28"/>
    </w:rPr>
  </w:style>
  <w:style w:styleId="style4" w:type="paragraph">
    <w:name w:val="Заголовок 4"/>
    <w:basedOn w:val="style0"/>
    <w:next w:val="style19"/>
    <w:pPr>
      <w:keepNext/>
      <w:keepLines/>
      <w:numPr>
        <w:ilvl w:val="3"/>
        <w:numId w:val="1"/>
      </w:numPr>
      <w:spacing w:after="40" w:before="240"/>
      <w:outlineLvl w:val="3"/>
    </w:pPr>
    <w:rPr>
      <w:b/>
    </w:rPr>
  </w:style>
  <w:style w:styleId="style5" w:type="paragraph">
    <w:name w:val="Заголовок 5"/>
    <w:basedOn w:val="style0"/>
    <w:next w:val="style19"/>
    <w:pPr>
      <w:keepNext/>
      <w:keepLines/>
      <w:numPr>
        <w:ilvl w:val="4"/>
        <w:numId w:val="1"/>
      </w:numPr>
      <w:spacing w:after="40" w:before="220"/>
      <w:outlineLvl w:val="4"/>
    </w:pPr>
    <w:rPr>
      <w:b/>
      <w:sz w:val="22"/>
      <w:szCs w:val="22"/>
    </w:rPr>
  </w:style>
  <w:style w:styleId="style6" w:type="paragraph">
    <w:name w:val="Заголовок 6"/>
    <w:basedOn w:val="style0"/>
    <w:next w:val="style19"/>
    <w:pPr>
      <w:keepNext/>
      <w:keepLines/>
      <w:numPr>
        <w:ilvl w:val="5"/>
        <w:numId w:val="1"/>
      </w:numPr>
      <w:spacing w:after="40" w:before="200"/>
      <w:outlineLvl w:val="5"/>
    </w:pPr>
    <w:rPr>
      <w:b/>
      <w:sz w:val="20"/>
      <w:szCs w:val="20"/>
    </w:rPr>
  </w:style>
  <w:style w:styleId="style15" w:type="character">
    <w:name w:val="Default Paragraph Font"/>
    <w:next w:val="style15"/>
    <w:rPr/>
  </w:style>
  <w:style w:styleId="style16" w:type="character">
    <w:name w:val="Символ нумерации"/>
    <w:next w:val="style16"/>
    <w:rPr/>
  </w:style>
  <w:style w:styleId="style17" w:type="character">
    <w:name w:val="Маркеры списка"/>
    <w:next w:val="style17"/>
    <w:rPr>
      <w:rFonts w:ascii="OpenSymbol" w:cs="OpenSymbol" w:eastAsia="OpenSymbol" w:hAnsi="OpenSymbol"/>
    </w:rPr>
  </w:style>
  <w:style w:styleId="style18" w:type="paragraph">
    <w:name w:val="Заголовок"/>
    <w:basedOn w:val="style0"/>
    <w:next w:val="style19"/>
    <w:pPr>
      <w:keepNext/>
      <w:spacing w:after="120" w:before="240"/>
    </w:pPr>
    <w:rPr>
      <w:rFonts w:ascii="Arial" w:cs="Lohit Hindi" w:eastAsia="AR PL SungtiL GB" w:hAnsi="Arial"/>
      <w:sz w:val="28"/>
      <w:szCs w:val="28"/>
    </w:rPr>
  </w:style>
  <w:style w:styleId="style19" w:type="paragraph">
    <w:name w:val="Основной текст"/>
    <w:basedOn w:val="style0"/>
    <w:next w:val="style19"/>
    <w:pPr>
      <w:spacing w:after="120" w:before="0"/>
    </w:pPr>
    <w:rPr/>
  </w:style>
  <w:style w:styleId="style20" w:type="paragraph">
    <w:name w:val="Список"/>
    <w:basedOn w:val="style19"/>
    <w:next w:val="style20"/>
    <w:pPr/>
    <w:rPr>
      <w:rFonts w:cs="Lohit Hindi"/>
    </w:rPr>
  </w:style>
  <w:style w:styleId="style21" w:type="paragraph">
    <w:name w:val="Название"/>
    <w:basedOn w:val="style0"/>
    <w:next w:val="style21"/>
    <w:pPr>
      <w:suppressLineNumbers/>
      <w:spacing w:after="120" w:before="120"/>
    </w:pPr>
    <w:rPr>
      <w:rFonts w:cs="Lohit Hindi"/>
      <w:i/>
      <w:iCs/>
      <w:sz w:val="24"/>
      <w:szCs w:val="24"/>
    </w:rPr>
  </w:style>
  <w:style w:styleId="style22" w:type="paragraph">
    <w:name w:val="Указатель"/>
    <w:basedOn w:val="style0"/>
    <w:next w:val="style22"/>
    <w:pPr>
      <w:suppressLineNumbers/>
    </w:pPr>
    <w:rPr>
      <w:rFonts w:cs="Lohit Hindi"/>
    </w:rPr>
  </w:style>
  <w:style w:styleId="style23" w:type="paragraph">
    <w:name w:val="Заглавие"/>
    <w:basedOn w:val="style0"/>
    <w:next w:val="style24"/>
    <w:pPr>
      <w:keepNext/>
      <w:keepLines/>
      <w:spacing w:after="120" w:before="480"/>
      <w:jc w:val="center"/>
    </w:pPr>
    <w:rPr>
      <w:b/>
      <w:bCs/>
      <w:sz w:val="72"/>
      <w:szCs w:val="72"/>
    </w:rPr>
  </w:style>
  <w:style w:styleId="style24" w:type="paragraph">
    <w:name w:val="Подзаголовок"/>
    <w:basedOn w:val="style0"/>
    <w:next w:val="style19"/>
    <w:pPr>
      <w:keepNext/>
      <w:keepLines/>
      <w:pBdr>
        <w:top w:color="000001" w:space="0" w:sz="6" w:val="single"/>
        <w:left w:color="000001" w:space="0" w:sz="6" w:val="single"/>
        <w:bottom w:color="000001" w:space="0" w:sz="6" w:val="single"/>
        <w:right w:color="000001" w:space="0" w:sz="6" w:val="single"/>
      </w:pBdr>
      <w:spacing w:after="80" w:before="360"/>
      <w:jc w:val="center"/>
    </w:pPr>
    <w:rPr>
      <w:rFonts w:ascii="Georgia" w:cs="Georgia" w:eastAsia="Georgia" w:hAnsi="Georgia"/>
      <w:i/>
      <w:iCs/>
      <w:color w:val="666666"/>
      <w:sz w:val="48"/>
      <w:szCs w:val="48"/>
    </w:rPr>
  </w:style>
  <w:style w:styleId="style25" w:type="paragraph">
    <w:name w:val="No Spacing"/>
    <w:next w:val="style25"/>
    <w:pPr>
      <w:widowControl/>
      <w:tabs>
        <w:tab w:leader="none" w:pos="720" w:val="left"/>
      </w:tabs>
      <w:suppressAutoHyphens w:val="true"/>
      <w:kinsoku w:val="true"/>
      <w:overflowPunct w:val="true"/>
      <w:autoSpaceDE w:val="true"/>
    </w:pPr>
    <w:rPr>
      <w:rFonts w:ascii="Times New Roman" w:cs="Times New Roman" w:eastAsia="Times New Roman" w:hAnsi="Times New Roman"/>
      <w:color w:val="auto"/>
      <w:sz w:val="24"/>
      <w:szCs w:val="24"/>
      <w:lang w:bidi="ar-SA" w:eastAsia="ru-RU" w:val="ru-RU"/>
    </w:rPr>
  </w:style>
  <w:style w:styleId="style26" w:type="paragraph">
    <w:name w:val="Содержимое таблицы"/>
    <w:basedOn w:val="style0"/>
    <w:next w:val="style26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Application>LibreOffice/3.5$Linux_X86_64 LibreOffice_project/350m1$Build-2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2024-02-16T07:56:00.00Z</dcterms:created>
  <dc:creator>Фионина Ольга Евгеньевна</dc:creator>
  <cp:lastModifiedBy>uchenik </cp:lastModifiedBy>
  <cp:lastPrinted>2024-02-16T09:32:00.00Z</cp:lastPrinted>
  <dcterms:modified xsi:type="dcterms:W3CDTF">2024-02-20T20:49:32.00Z</dcterms:modified>
  <cp:revision>6</cp:revision>
</cp:coreProperties>
</file>